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51 vom 22. Januar 1986</w:t>
      </w:r>
    </w:p>
    <w:p>
      <w:r>
        <w:t>Bundesgericht (BGE), 1986-01-22, DE</w:t>
      </w:r>
    </w:p>
    <w:p>
      <w:r>
        <w:rPr>
          <w:b/>
        </w:rPr>
        <w:t xml:space="preserve">Quelle: </w:t>
      </w:r>
      <w:r>
        <w:t>https://mcp.opencaselaw.ch/entscheid/bge_112 IB 51</w:t>
      </w:r>
    </w:p>
    <w:p>
      <w:r>
        <w:t>FR: BGE 112 IB 51 du 22 janvier 1986</w:t>
      </w:r>
    </w:p>
    <w:p>
      <w:r>
        <w:t>IT: BGE 112 IB 51 del 22 gennaio 1986</w:t>
      </w:r>
    </w:p>
    <w:p>
      <w:pPr>
        <w:pStyle w:val="Heading2"/>
      </w:pPr>
      <w:r>
        <w:t>Regeste</w:t>
      </w:r>
    </w:p>
    <w:p>
      <w:r>
        <w:t>Regeste Art. 18 Abs. 1 Satz 2 GSchG. Ausnahmsweise Befreiung von der Anschlusspflicht aus wichtigen Gründen. Eine solche Ausnahmebewilligung kann nur erteilt werden, wenn das Beharren auf der Anschlusspflicht zu einer vom Gesetzgeber nicht gewollten Härte führen würde oder offensichtlich unzweckmässig wäre. Dabei kommt dem Gleichbehandlungsgebot nach Art. 4 BV erhebliches Gewicht zu. Im vorliegenden Fall ist dieses durch die Verweigerung der Ausnahmebewilligung nicht verletzt worden.</w:t>
      </w:r>
    </w:p>
    <w:p>
      <w:pPr>
        <w:pStyle w:val="Heading2"/>
      </w:pPr>
      <w:r>
        <w:t>Erwägungen</w:t>
      </w:r>
    </w:p>
    <w:p>
      <w:r>
        <w:rPr>
          <w:b/>
        </w:rPr>
        <w:t>E. 4</w:t>
      </w:r>
    </w:p>
    <w:p>
      <w:r>
        <w:t>... (Der Anschluss an die örtliche Kläranlage ist zweckmässig, da diese noch über unausgeschöpfte Reserven verfügt. Er ist auch zumutbar.)</w:t>
      </w:r>
    </w:p>
    <w:p>
      <w:r>
        <w:rPr>
          <w:b/>
        </w:rPr>
        <w:t>E. 5</w:t>
      </w:r>
    </w:p>
    <w:p>
      <w:r>
        <w:t>Aufgrund der vorstehenden Erwägungen ist die Anschlusspflicht grundsätzlich zu bejahen. Damit stellt sich die Frage, ob eine Ausnahmebewilligung im Sinne von Art. 18 Abs. 1 Satz 2 GSchG erteilt werden könnte. Wie im öffentlichen Baurecht stellt diese Ausnahmeregelung im Gewässerschutzrecht ein allgemeines Rechtsinstitut dar, das bezweckt, im Einzelfall Härten und offensichtliche Unzweckmässigkeiten zu beseitigen.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 BGE 107 Ib 119 E. 2b; BGE 107 Ia 216 E. 5; je mit Hinweisen).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107 Ib 121 E. 4a; BGE 104 Ib 112 E. 3; je mit Hinweisen). Im vorliegenden Fall kommt nur die zweite der beiden in Art. 18 Abs. 1 Satz 2 GSchG festgehaltenen Ausnahmemöglichkeiten in Betracht: Es muss sich um Abwässer handeln, für welche die zentrale Reinigung "aus anderen wichtigen Gründen nicht angezeigt ist". Der Umstand, dass eine Baute im Zeitpunkt der Inbetriebnahme einer Kanalisationsleitung bereits besteht, gilt nach der Praxis nicht als Ausnahme-Sachverhalt im Sinne von Art. 18 Abs. 1 Satz 2 GSchG ( BGE 107 Ib 120 E. 3a mit Hinweisen). Bei der Auslegung von Art. 18 Abs. 1 Satz 2 GSchG ist zu beachten, dass mit der Anschlusspflicht nicht nur der technische Zweck BGE 112 Ib 51 S. 54 der einwandfreien Reinigung der Abwässer verfolgt wird, sondern wie schon in anderem Zusammenhang ausgeführt auch eine ausgewogene, gemeinschaftliche und rechtsgleiche Finanzierung der für den Gewässerschutz erforderlichen Kanalisations- und Reinigungsanlagen ( BGE 107 Ib 118 E. 2a). Die Erteilung von Ausnahmebewilligungen an alle Landwirte, welche die in der "Wegleitung für den Gewässerschutz in der Landwirtschaft" (herausgegeben von den Bundesämtern für Landwirtschaft und Umweltschutz) genannten Voraussetzungen erfüllen, würde gerade in kleinen Bauerndörfern die Finanzierung der vom Gesetz verlangten Anlagen verunmöglichen oder doch stark beeinträchtigen. Die Ausnahme würde zur Regel; es entstünde ein Sonderrecht zugunsten eines Zweiges der Landwirtschaft, was der Gesetzgeber gerade nicht wollte. Eine Ausnahmebewilligung kann deshalb nur dann erteilt werden, wenn das Beharren auf der Anschlusspflicht zu einer vom Gesetzgeber nicht gewollten Härte führen würde oder offensichtlich unzweckmässig wäre, d.h. wenn besondere Umstände vorliegen, die ein Abweichen von der Regel verlangen ( BGE 107 Ib 122 E. 4b mit Hinweisen). Dass unter dem Gesichtspunkt der Zweckmässigkeit kein Härtefall vorliegt, ergibt sich aus den vorstehenden Erörterungen. Im Zusammenhang mit der Prüfung der Frage einer Ausnahmebewilligung kommt sodann dem Gleichbehandlungsgebot von Art. 4 BV erhebliches Gewicht zu ( BGE 107 Ib 123 E. 4b, insbesondere im Vergleich zu den übrigen landwirtschaftlichen Betrieben in derselben Gemeinde. Am Augenschein wurde festgestellt, dass neben dem "Freihof" und dem Hof "Wiesental" nur noch zwei Betriebe in der Gemeinde O. ausserhalb der Bauzone und ausserhalb des GKP liegen. Der eine Betrieb ist an die Kanalisation angeschlossen und der andere liegt höhenmässig derart tief, dass er nur beim Einbau einer Pumpe angeschlossen werden könnte. Mit Bezug auf den Hof "Wiesental" und den "Freihof" hat die Vorinstanz keine rechtlichen Unterschiedungen getroffen, die nicht auf wichtige tatsächliche Verschiedenheit zurückzuführen sind ( BGE 107 Ia 228 E. 3, BGE 96 I 16 E. 3; je mit Hinweisen). Die Frage der Anschlusspflicht wird in der Gemeinde O. nämlich generell nur dann geprüft, wenn bei einem landwirtschaftlichen Betrieb ausserhalb von Bauzone und GKP bauliche Massnahmen vorgenommen werden. Dies ist bei den beiden genannten Höfen im Gegensatz zum Betrieb des Beschwerdeführers nicht der Fall. Ein nicht unwesentlicher Unterschied liegt sodann darin, dass in Folge der grösseren Entfernung der Betriebe "Freihof" und "Wiesental" vom Kanalisationsstrang ein Anschluss BGE 112 Ib 51 S. 55 zwei- bis dreimal mehr kosten würde als beim Wohnhaus des Beschwerdeführers, sodass allenfalls die Prüfung der Zumutbarkeit im Sinne von Art. 18 AGSchV zu einem anderen Ergebnis führen würde. Damit liegt auch keine Verletzung des Grundsatzes der Rechtsgleichheit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